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F9F74" w14:textId="77777777" w:rsidR="00401D0B" w:rsidRPr="00401D0B" w:rsidRDefault="00BA48C2" w:rsidP="00BA48C2">
      <w:pPr>
        <w:pStyle w:val="Heading2"/>
      </w:pPr>
      <w:r>
        <w:t xml:space="preserve">White LED Fresnel Luminaire </w:t>
      </w:r>
    </w:p>
    <w:p w14:paraId="62950FB0" w14:textId="77777777" w:rsidR="00FB2737" w:rsidRPr="00BC4D38" w:rsidRDefault="00FB2737" w:rsidP="002F4D1A">
      <w:pPr>
        <w:pStyle w:val="Heading3"/>
      </w:pPr>
      <w:r w:rsidRPr="00BC4D38">
        <w:t>General</w:t>
      </w:r>
    </w:p>
    <w:p w14:paraId="0B87B805" w14:textId="76629546" w:rsidR="005405D6" w:rsidRDefault="0019153B" w:rsidP="005405D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 xml:space="preserve">The </w:t>
      </w:r>
      <w:r w:rsidR="00713B53">
        <w:t>fi</w:t>
      </w:r>
      <w:bookmarkStart w:id="0" w:name="_GoBack"/>
      <w:bookmarkEnd w:id="0"/>
      <w:r w:rsidR="00713B53">
        <w:t>xture</w:t>
      </w:r>
      <w:r>
        <w:t xml:space="preserve"> shall be an </w:t>
      </w:r>
      <w:r w:rsidR="003F444F">
        <w:t xml:space="preserve">Altman </w:t>
      </w:r>
      <w:r w:rsidR="00607313">
        <w:t>Pegasus8</w:t>
      </w:r>
      <w:r w:rsidR="00FB2737" w:rsidRPr="00BC4D38">
        <w:t xml:space="preserve"> as manufactured by </w:t>
      </w:r>
      <w:r w:rsidR="003F444F">
        <w:t>Altman Stage Lighting</w:t>
      </w:r>
      <w:r w:rsidR="000E514C">
        <w:t>, or approved equal</w:t>
      </w:r>
      <w:r w:rsidR="00B0660C">
        <w:t>.</w:t>
      </w:r>
      <w:r w:rsidR="005405D6">
        <w:t xml:space="preserve"> Fixtures that do not meet the following performance criteria in this specification will not be acceptable.</w:t>
      </w:r>
    </w:p>
    <w:p w14:paraId="70AB4C90" w14:textId="77777777" w:rsidR="005405D6" w:rsidRDefault="005405D6" w:rsidP="005405D6">
      <w:pPr>
        <w:pStyle w:val="Heading4"/>
      </w:pPr>
      <w:r>
        <w:t>The fixture shall be an LED based variable zoom wash type luminaire with a true Fresnel type lens.</w:t>
      </w:r>
    </w:p>
    <w:p w14:paraId="76A52BB7" w14:textId="77777777" w:rsidR="00713B53" w:rsidRDefault="00713B53" w:rsidP="00713B53">
      <w:pPr>
        <w:pStyle w:val="Heading4"/>
      </w:pPr>
      <w:r>
        <w:t xml:space="preserve">The fixture shall be capable of control via DMX or phase cut </w:t>
      </w:r>
      <w:r w:rsidR="008A5E8F">
        <w:t xml:space="preserve">voltage </w:t>
      </w:r>
      <w:r>
        <w:t>dimming.</w:t>
      </w:r>
    </w:p>
    <w:p w14:paraId="398B11FA" w14:textId="77777777" w:rsidR="00713B53" w:rsidRDefault="00713B53" w:rsidP="00713B53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Unit shall be IP20 rated for indoor use.</w:t>
      </w:r>
    </w:p>
    <w:p w14:paraId="273D7F76" w14:textId="77777777" w:rsidR="00145B32" w:rsidRPr="00145B32" w:rsidRDefault="00145B32" w:rsidP="00145B32">
      <w:pPr>
        <w:pStyle w:val="Heading4"/>
      </w:pPr>
      <w:r>
        <w:t>Push button controls and switches shall be located on the rear of the fixture for ease of control.</w:t>
      </w:r>
    </w:p>
    <w:p w14:paraId="7D4F8AF6" w14:textId="77777777" w:rsidR="00713B53" w:rsidRDefault="00713B53" w:rsidP="00713B53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AD4335">
        <w:t>T</w:t>
      </w:r>
      <w:r>
        <w:t>he fixture shall be ETL,</w:t>
      </w:r>
      <w:r w:rsidRPr="00AD4335">
        <w:t xml:space="preserve"> cETL</w:t>
      </w:r>
      <w:r>
        <w:t xml:space="preserve"> and CE</w:t>
      </w:r>
      <w:r w:rsidRPr="00AD4335">
        <w:t xml:space="preserve"> LISTED, and shall be so la</w:t>
      </w:r>
      <w:r>
        <w:t xml:space="preserve">beled when delivered to </w:t>
      </w:r>
      <w:r w:rsidRPr="00AD4335">
        <w:t>site. The fixture shall be E</w:t>
      </w:r>
      <w:r>
        <w:t>TL LISTED under Portable</w:t>
      </w:r>
      <w:r w:rsidRPr="00AD4335">
        <w:t xml:space="preserve"> Luminaires (UL Standard 15</w:t>
      </w:r>
      <w:r>
        <w:t>7</w:t>
      </w:r>
      <w:r w:rsidRPr="00AD4335">
        <w:t>3) and Surface Mount Luminaires (UL Standard 1598).</w:t>
      </w:r>
    </w:p>
    <w:p w14:paraId="6F92E8F0" w14:textId="77777777" w:rsidR="00943EEF" w:rsidRDefault="00943EEF" w:rsidP="00943EEF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Ambient operating temperature of 32</w:t>
      </w:r>
      <w:r w:rsidRPr="000E6371">
        <w:t>°</w:t>
      </w:r>
      <w:r>
        <w:t>F to 104</w:t>
      </w:r>
      <w:r w:rsidRPr="000E6371">
        <w:t>°</w:t>
      </w:r>
      <w:r>
        <w:t>F (0</w:t>
      </w:r>
      <w:r w:rsidRPr="000E6371">
        <w:t>°</w:t>
      </w:r>
      <w:r>
        <w:t>C to 40</w:t>
      </w:r>
      <w:r w:rsidRPr="000E6371">
        <w:t>°</w:t>
      </w:r>
      <w:r>
        <w:t>C).</w:t>
      </w:r>
    </w:p>
    <w:p w14:paraId="71FF3CD7" w14:textId="77777777" w:rsidR="00943EEF" w:rsidRDefault="00943EEF" w:rsidP="00943EEF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5E7B09">
        <w:t xml:space="preserve">Power supply, cooling and electronics shall be </w:t>
      </w:r>
      <w:r>
        <w:t>included inside</w:t>
      </w:r>
      <w:r w:rsidRPr="005E7B09">
        <w:t xml:space="preserve"> each unit.</w:t>
      </w:r>
    </w:p>
    <w:p w14:paraId="67CDF578" w14:textId="77777777" w:rsidR="00943EEF" w:rsidRPr="00943EEF" w:rsidRDefault="00943EEF" w:rsidP="008A5E8F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1266DE">
        <w:t xml:space="preserve">Normal operation of </w:t>
      </w:r>
      <w:r>
        <w:t xml:space="preserve">optical and control functions of </w:t>
      </w:r>
      <w:r w:rsidRPr="001266DE">
        <w:t>the fixture shall not require tools.</w:t>
      </w:r>
    </w:p>
    <w:p w14:paraId="634EF60D" w14:textId="77777777" w:rsidR="00FB2737" w:rsidRDefault="00FB2737" w:rsidP="002F4D1A">
      <w:pPr>
        <w:pStyle w:val="Heading3"/>
      </w:pPr>
      <w:r w:rsidRPr="00BC4D38">
        <w:t>Physical</w:t>
      </w:r>
    </w:p>
    <w:p w14:paraId="67423B6B" w14:textId="77777777" w:rsidR="00713B53" w:rsidRDefault="00943EEF" w:rsidP="00713B53">
      <w:pPr>
        <w:pStyle w:val="Heading4"/>
      </w:pPr>
      <w:r>
        <w:t>The fixture shall be constructed primarily of sheet steel.</w:t>
      </w:r>
    </w:p>
    <w:p w14:paraId="72EE6AE2" w14:textId="77777777" w:rsidR="00943EEF" w:rsidRDefault="00943EEF" w:rsidP="00943EEF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Finish shall be Epoxy Sandtex black, electrostatic application. Custom colors based on the RAL color system shall be available.</w:t>
      </w:r>
    </w:p>
    <w:p w14:paraId="3F875956" w14:textId="3457441A" w:rsidR="00943EEF" w:rsidRPr="006E0BCA" w:rsidRDefault="00943EEF" w:rsidP="00943EEF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Fixtur</w:t>
      </w:r>
      <w:r w:rsidR="00607313">
        <w:t>e shall not weigh more than 14.2 lbs. (6.44</w:t>
      </w:r>
      <w:r>
        <w:t>kgs.) with hanging clamp and yoke included.</w:t>
      </w:r>
    </w:p>
    <w:p w14:paraId="467B0E2F" w14:textId="77777777" w:rsidR="000D2F01" w:rsidRDefault="000D2F01" w:rsidP="000D2F01">
      <w:pPr>
        <w:pStyle w:val="Heading4"/>
      </w:pPr>
      <w:r>
        <w:t>Fixture shall be supplied with:</w:t>
      </w:r>
    </w:p>
    <w:p w14:paraId="79DC0806" w14:textId="77777777" w:rsidR="000D2F01" w:rsidRDefault="000D2F01" w:rsidP="000D2F01">
      <w:pPr>
        <w:pStyle w:val="Heading5"/>
      </w:pPr>
      <w:r>
        <w:t>Steel yoke constructed from rigid flat steel and with two mounting positions and indexed tilt angle markings.</w:t>
      </w:r>
    </w:p>
    <w:p w14:paraId="092CBE0D" w14:textId="77777777" w:rsidR="000D2F01" w:rsidRDefault="000D2F01" w:rsidP="000D2F01">
      <w:pPr>
        <w:pStyle w:val="Heading5"/>
      </w:pPr>
      <w:r>
        <w:t>Cast iron C-clamp (Altman #510) suitable for use on up to 2” O.D. pipe.  Clamp shall incorporate a 360-degree rotational “Safety Stud” with locking bolt.</w:t>
      </w:r>
    </w:p>
    <w:p w14:paraId="1483B38B" w14:textId="77777777" w:rsidR="000D2F01" w:rsidRDefault="000D2F01" w:rsidP="000D2F01">
      <w:pPr>
        <w:pStyle w:val="Heading5"/>
      </w:pPr>
      <w:r>
        <w:t>18 inch safety cable.</w:t>
      </w:r>
    </w:p>
    <w:p w14:paraId="1B8BA587" w14:textId="77777777" w:rsidR="000D2F01" w:rsidRDefault="000D2F01" w:rsidP="000D2F01">
      <w:pPr>
        <w:pStyle w:val="Heading5"/>
      </w:pPr>
      <w:r>
        <w:t>Color frame.</w:t>
      </w:r>
    </w:p>
    <w:p w14:paraId="5759F133" w14:textId="77777777" w:rsidR="000D2F01" w:rsidRDefault="000D2F01" w:rsidP="000D2F01">
      <w:pPr>
        <w:pStyle w:val="Heading5"/>
      </w:pPr>
      <w:r>
        <w:t>5 foot power cable with powerCON™ socket outlets and the following options for plug type:</w:t>
      </w:r>
    </w:p>
    <w:p w14:paraId="30872478" w14:textId="6374942E" w:rsidR="000D2F01" w:rsidRDefault="00720121" w:rsidP="000D2F01">
      <w:pPr>
        <w:pStyle w:val="Heading6"/>
      </w:pPr>
      <w:r>
        <w:t>powerCON</w:t>
      </w:r>
      <w:r w:rsidRPr="005E7B09">
        <w:rPr>
          <w:i/>
          <w:iCs/>
        </w:rPr>
        <w:t>™</w:t>
      </w:r>
      <w:r w:rsidR="00402104">
        <w:rPr>
          <w:i/>
          <w:iCs/>
        </w:rPr>
        <w:t>.</w:t>
      </w:r>
    </w:p>
    <w:p w14:paraId="4B8EDB7F" w14:textId="77777777" w:rsidR="000D2F01" w:rsidRDefault="000D2F01" w:rsidP="000D2F01">
      <w:pPr>
        <w:pStyle w:val="Heading6"/>
      </w:pPr>
      <w:r>
        <w:t>2 pin + ground Stage Pin Male.</w:t>
      </w:r>
    </w:p>
    <w:p w14:paraId="4287710D" w14:textId="77777777" w:rsidR="000D2F01" w:rsidRDefault="000D2F01" w:rsidP="000D2F01">
      <w:pPr>
        <w:pStyle w:val="Heading6"/>
      </w:pPr>
      <w:r>
        <w:t>NEMA L5-20P Twist Lock Male.</w:t>
      </w:r>
    </w:p>
    <w:p w14:paraId="6108D85C" w14:textId="77777777" w:rsidR="00943EEF" w:rsidRPr="00943EEF" w:rsidRDefault="000D2F01" w:rsidP="000D2F01">
      <w:pPr>
        <w:pStyle w:val="Heading6"/>
      </w:pPr>
      <w:r>
        <w:t>Bare end cable.</w:t>
      </w:r>
    </w:p>
    <w:p w14:paraId="2B613D0E" w14:textId="77777777" w:rsidR="003D0B01" w:rsidRDefault="003D0B01" w:rsidP="002F4D1A">
      <w:pPr>
        <w:pStyle w:val="Heading3"/>
      </w:pPr>
      <w:r>
        <w:lastRenderedPageBreak/>
        <w:t>Electrical</w:t>
      </w:r>
    </w:p>
    <w:p w14:paraId="4C7010AF" w14:textId="77777777" w:rsidR="00720121" w:rsidRDefault="000D2F01" w:rsidP="000D2F01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AD4335">
        <w:t>The fixture shall be equipped with 100V to 240V 50/60 Hz</w:t>
      </w:r>
      <w:r w:rsidR="00720121">
        <w:t xml:space="preserve"> universal</w:t>
      </w:r>
      <w:r>
        <w:t xml:space="preserve"> </w:t>
      </w:r>
      <w:r w:rsidRPr="00AD4335">
        <w:t xml:space="preserve">internal </w:t>
      </w:r>
      <w:r>
        <w:t>power supply.</w:t>
      </w:r>
      <w:r w:rsidR="00720121">
        <w:t xml:space="preserve"> </w:t>
      </w:r>
    </w:p>
    <w:p w14:paraId="25D49967" w14:textId="6608320A" w:rsidR="00402104" w:rsidRDefault="00720121" w:rsidP="003C30DD">
      <w:pPr>
        <w:pStyle w:val="Heading4"/>
      </w:pPr>
      <w:r>
        <w:t xml:space="preserve">2 </w:t>
      </w:r>
      <w:r w:rsidR="00402104">
        <w:t xml:space="preserve">qty. </w:t>
      </w:r>
      <w:r>
        <w:t>selector switches shall be l</w:t>
      </w:r>
      <w:r w:rsidR="00402104">
        <w:t>ocated on the rear of the unit:</w:t>
      </w:r>
    </w:p>
    <w:p w14:paraId="0DE6E58A" w14:textId="77777777" w:rsidR="00402104" w:rsidRDefault="00720121" w:rsidP="00402104">
      <w:pPr>
        <w:pStyle w:val="Heading5"/>
      </w:pPr>
      <w:r>
        <w:t>S</w:t>
      </w:r>
      <w:r w:rsidR="000D2F01">
        <w:t>elector switch</w:t>
      </w:r>
      <w:r>
        <w:t xml:space="preserve"> 1</w:t>
      </w:r>
      <w:r w:rsidR="00402104">
        <w:t xml:space="preserve"> </w:t>
      </w:r>
      <w:r w:rsidR="000D2F01">
        <w:t>will set the unit to either DMX or Voltage dimming control.</w:t>
      </w:r>
    </w:p>
    <w:p w14:paraId="023CF82C" w14:textId="25FCC83E" w:rsidR="000D2F01" w:rsidRPr="00AD4335" w:rsidRDefault="00720121" w:rsidP="00402104">
      <w:pPr>
        <w:pStyle w:val="Heading5"/>
      </w:pPr>
      <w:r>
        <w:t xml:space="preserve">Selector switch 2 will set </w:t>
      </w:r>
      <w:r w:rsidR="00933678">
        <w:t xml:space="preserve">the unit to 120 </w:t>
      </w:r>
      <w:r w:rsidR="003C30DD">
        <w:t>o</w:t>
      </w:r>
      <w:r w:rsidR="003C30DD" w:rsidRPr="003C30DD">
        <w:t>r 230 Volt Dimming Curve.  This Selector switch is responsible for setting the upper dimming curve threshold</w:t>
      </w:r>
      <w:r w:rsidR="003C30DD">
        <w:t>s.</w:t>
      </w:r>
    </w:p>
    <w:p w14:paraId="7809675A" w14:textId="77777777" w:rsidR="008A4528" w:rsidRDefault="008A4528" w:rsidP="008A4528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Power input and through shall be via lockable and separately keyed powerCON</w:t>
      </w:r>
      <w:r w:rsidRPr="005E7B09">
        <w:rPr>
          <w:i/>
          <w:iCs/>
        </w:rPr>
        <w:t>™</w:t>
      </w:r>
      <w:r>
        <w:t xml:space="preserve"> type connections.</w:t>
      </w:r>
    </w:p>
    <w:p w14:paraId="1BCEF0D2" w14:textId="77777777" w:rsidR="008A4528" w:rsidRDefault="008A4528" w:rsidP="008A4528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5E7B09">
        <w:t>Power supply shall have power factor correction</w:t>
      </w:r>
      <w:r>
        <w:t>.</w:t>
      </w:r>
    </w:p>
    <w:p w14:paraId="6CF95BEA" w14:textId="77777777" w:rsidR="008A4528" w:rsidRDefault="008A4528" w:rsidP="008A4528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5E7B09">
        <w:t>Power supply outputs shall have resetting current-limiting protection</w:t>
      </w:r>
      <w:r>
        <w:t>.</w:t>
      </w:r>
    </w:p>
    <w:p w14:paraId="3547FF9E" w14:textId="7788A6E7" w:rsidR="00720121" w:rsidRDefault="00720121" w:rsidP="00720121">
      <w:pPr>
        <w:pStyle w:val="Heading4"/>
      </w:pPr>
      <w:r>
        <w:t xml:space="preserve">The </w:t>
      </w:r>
      <w:r w:rsidR="00C557A8">
        <w:t>fixture</w:t>
      </w:r>
      <w:r>
        <w:t xml:space="preserve"> shall have an expected average power consumption of 140W maximum.</w:t>
      </w:r>
    </w:p>
    <w:p w14:paraId="2626218C" w14:textId="6D5FB983" w:rsidR="00720121" w:rsidRPr="00720121" w:rsidRDefault="00720121" w:rsidP="00720121">
      <w:pPr>
        <w:pStyle w:val="Heading4"/>
      </w:pPr>
      <w:r>
        <w:t xml:space="preserve">Fixtures shall have adjustable PWM frequency up to </w:t>
      </w:r>
      <w:r w:rsidR="00E34A48">
        <w:t>20</w:t>
      </w:r>
      <w:r>
        <w:t>Khz to avoid flicker on camera</w:t>
      </w:r>
      <w:r w:rsidR="00E34A48">
        <w:t>.</w:t>
      </w:r>
    </w:p>
    <w:p w14:paraId="1FE1C6D6" w14:textId="77777777" w:rsidR="002F4D1A" w:rsidRDefault="002F4D1A" w:rsidP="002F4D1A">
      <w:pPr>
        <w:pStyle w:val="Heading3"/>
      </w:pPr>
      <w:r>
        <w:t xml:space="preserve">Thermal </w:t>
      </w:r>
    </w:p>
    <w:p w14:paraId="3395C474" w14:textId="1FFB5D6E" w:rsidR="008A4528" w:rsidRDefault="008A4528" w:rsidP="008A4528">
      <w:pPr>
        <w:pStyle w:val="Heading4"/>
      </w:pPr>
      <w:r>
        <w:t xml:space="preserve">The </w:t>
      </w:r>
      <w:r w:rsidR="00C557A8">
        <w:t>fixture</w:t>
      </w:r>
      <w:r>
        <w:t xml:space="preserve"> shall employ a very quiet cooling system with an ambient dBa level no greater that &lt;19dBa @ .5M. </w:t>
      </w:r>
    </w:p>
    <w:p w14:paraId="139E5F46" w14:textId="0D756FC4" w:rsidR="008A4528" w:rsidRPr="0084369D" w:rsidRDefault="008A4528" w:rsidP="008A4528">
      <w:pPr>
        <w:pStyle w:val="Heading4"/>
      </w:pPr>
      <w:r>
        <w:t xml:space="preserve">The </w:t>
      </w:r>
      <w:r w:rsidR="00C557A8">
        <w:t>fixture</w:t>
      </w:r>
      <w:r>
        <w:t xml:space="preserve"> shall employ an active cooling sensing system which will shut down the led in the event of a cooling system failure. </w:t>
      </w:r>
      <w:r w:rsidR="00C557A8">
        <w:t>Fixtures</w:t>
      </w:r>
      <w:r>
        <w:t xml:space="preserve"> not employing shut down safety circuity shall not be accepted. </w:t>
      </w:r>
    </w:p>
    <w:p w14:paraId="3DB9BEB2" w14:textId="77777777" w:rsidR="008A4528" w:rsidRPr="005E7B09" w:rsidRDefault="008A4528" w:rsidP="008A4528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 xml:space="preserve">The fixture shall utilize </w:t>
      </w:r>
      <w:r w:rsidRPr="005E7B09">
        <w:t xml:space="preserve">thermal management to maintain LED life to an </w:t>
      </w:r>
      <w:r>
        <w:t>average of 70% intensity after 5</w:t>
      </w:r>
      <w:r w:rsidRPr="005E7B09">
        <w:t>0,000 hours of use</w:t>
      </w:r>
      <w:r>
        <w:t>.</w:t>
      </w:r>
    </w:p>
    <w:p w14:paraId="19D58A55" w14:textId="77777777" w:rsidR="008A4528" w:rsidRPr="005E7B09" w:rsidRDefault="008A4528" w:rsidP="008A4528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 w:rsidRPr="005E7B09">
        <w:t>Thermal management shall include multiple temperature sensors within the housing to include:</w:t>
      </w:r>
    </w:p>
    <w:p w14:paraId="22801C55" w14:textId="77777777" w:rsidR="008A4528" w:rsidRDefault="008A4528" w:rsidP="008A4528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Power supply Temperature sensor</w:t>
      </w:r>
    </w:p>
    <w:p w14:paraId="4B9B8550" w14:textId="145FC707" w:rsidR="008A4528" w:rsidRPr="008A4528" w:rsidRDefault="008A4528" w:rsidP="003C30DD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Display Board Temperature sensor</w:t>
      </w:r>
    </w:p>
    <w:p w14:paraId="28563025" w14:textId="77777777" w:rsidR="002F4D1A" w:rsidRDefault="002F4D1A" w:rsidP="002F4D1A">
      <w:pPr>
        <w:pStyle w:val="Heading3"/>
      </w:pPr>
      <w:r>
        <w:t xml:space="preserve">Control </w:t>
      </w:r>
    </w:p>
    <w:p w14:paraId="0D81CC5E" w14:textId="77777777" w:rsidR="002F4D1A" w:rsidRDefault="002F4D1A" w:rsidP="002F4D1A">
      <w:pPr>
        <w:pStyle w:val="Heading4"/>
      </w:pPr>
      <w:r w:rsidRPr="00BC4D38">
        <w:t xml:space="preserve">The unit shall be dimmable using </w:t>
      </w:r>
      <w:r>
        <w:t>one of the following methods</w:t>
      </w:r>
      <w:r w:rsidR="006A56F0">
        <w:t>:</w:t>
      </w:r>
      <w:r>
        <w:t xml:space="preserve"> </w:t>
      </w:r>
    </w:p>
    <w:p w14:paraId="4789EC38" w14:textId="0A658DCB" w:rsidR="002F4D1A" w:rsidRDefault="002F4D1A" w:rsidP="002F4D1A">
      <w:pPr>
        <w:pStyle w:val="Heading5"/>
      </w:pPr>
      <w:r>
        <w:t>ANSI 1.11 USITT DMX512-A / ANSI E1.20 RDM (Remote Device Management)</w:t>
      </w:r>
      <w:r w:rsidR="00402104">
        <w:t>.</w:t>
      </w:r>
    </w:p>
    <w:p w14:paraId="1137F16B" w14:textId="77777777" w:rsidR="002F4D1A" w:rsidRDefault="006A56F0" w:rsidP="00713B53">
      <w:pPr>
        <w:pStyle w:val="Heading5"/>
      </w:pPr>
      <w:r>
        <w:t>P</w:t>
      </w:r>
      <w:r w:rsidR="002F4D1A">
        <w:t>hase cut dimming (leading or trailing edge)</w:t>
      </w:r>
      <w:r>
        <w:t>. Main level Voltage between 120V and 230V.</w:t>
      </w:r>
    </w:p>
    <w:p w14:paraId="2A355DE1" w14:textId="77777777" w:rsidR="008A4528" w:rsidRDefault="008A4528" w:rsidP="008A4528">
      <w:pPr>
        <w:pStyle w:val="Heading4"/>
      </w:pPr>
      <w:r>
        <w:t>Up to 16-bit virtual dimming control of the fixture shall provide full range (0-100%) dimming without exhibiting flicker or stepping.  Dimming curves shall be optimized for smooth dimming at low intensities and over longer timed fades.</w:t>
      </w:r>
    </w:p>
    <w:p w14:paraId="5C5F4991" w14:textId="77777777" w:rsidR="008A4528" w:rsidRDefault="008A4528" w:rsidP="008A4528">
      <w:pPr>
        <w:pStyle w:val="Heading4"/>
      </w:pPr>
      <w:r>
        <w:t>Control input and through function shall be via 5-pin XLR unified d-shell connections.</w:t>
      </w:r>
    </w:p>
    <w:p w14:paraId="6489F57E" w14:textId="61BD3A4F" w:rsidR="00AC4803" w:rsidRPr="00AC4803" w:rsidRDefault="00AC4803" w:rsidP="00AC4803">
      <w:pPr>
        <w:pStyle w:val="Heading4"/>
      </w:pPr>
      <w:r>
        <w:lastRenderedPageBreak/>
        <w:t>Dimming via phase cut dimmer shall be via powerCON</w:t>
      </w:r>
      <w:r w:rsidRPr="005E7B09">
        <w:rPr>
          <w:i/>
          <w:iCs/>
        </w:rPr>
        <w:t>™</w:t>
      </w:r>
      <w:r>
        <w:rPr>
          <w:iCs/>
        </w:rPr>
        <w:t xml:space="preserve"> connection. </w:t>
      </w:r>
      <w:r w:rsidR="00A61BAD">
        <w:rPr>
          <w:iCs/>
        </w:rPr>
        <w:t xml:space="preserve">No more than 4 fixtures </w:t>
      </w:r>
      <w:r>
        <w:rPr>
          <w:iCs/>
        </w:rPr>
        <w:t>shall be daisy chained when in this configuration.</w:t>
      </w:r>
    </w:p>
    <w:p w14:paraId="4E962ECB" w14:textId="77777777" w:rsidR="00FB2737" w:rsidRPr="00BC4D38" w:rsidRDefault="00FB2737" w:rsidP="002F4D1A">
      <w:pPr>
        <w:pStyle w:val="Heading3"/>
      </w:pPr>
      <w:r w:rsidRPr="00BC4D38">
        <w:t>Optical</w:t>
      </w:r>
    </w:p>
    <w:p w14:paraId="728E09E5" w14:textId="38F33F5A" w:rsidR="00720121" w:rsidRDefault="00A628E0" w:rsidP="003D6BDB">
      <w:pPr>
        <w:pStyle w:val="Heading4"/>
      </w:pPr>
      <w:r>
        <w:t>Fixture shall have a 10-5</w:t>
      </w:r>
      <w:r w:rsidR="00720121">
        <w:t>0 degree spot to flood beam spread.</w:t>
      </w:r>
    </w:p>
    <w:p w14:paraId="4E1E8276" w14:textId="271BB008" w:rsidR="003D6BDB" w:rsidRDefault="003D6BDB" w:rsidP="003D6BDB">
      <w:pPr>
        <w:pStyle w:val="Heading4"/>
      </w:pPr>
      <w:r>
        <w:t xml:space="preserve">The </w:t>
      </w:r>
      <w:r w:rsidR="00402104">
        <w:t>fixture</w:t>
      </w:r>
      <w:r w:rsidR="003D0B01">
        <w:t xml:space="preserve"> </w:t>
      </w:r>
      <w:r>
        <w:t>shall utilize a single LED</w:t>
      </w:r>
      <w:r w:rsidR="00F23EFD">
        <w:t xml:space="preserve"> &gt;92 CRI</w:t>
      </w:r>
      <w:r>
        <w:t xml:space="preserve"> emitter</w:t>
      </w:r>
      <w:r w:rsidR="000C1616">
        <w:t xml:space="preserve"> and be available in configurations that include:</w:t>
      </w:r>
    </w:p>
    <w:p w14:paraId="037FD4D8" w14:textId="77777777" w:rsidR="00F23EFD" w:rsidRDefault="00F23EFD" w:rsidP="00F23EFD">
      <w:pPr>
        <w:pStyle w:val="Heading5"/>
      </w:pPr>
      <w:r>
        <w:t>2,700 Kelvin</w:t>
      </w:r>
    </w:p>
    <w:p w14:paraId="5A150C21" w14:textId="77777777" w:rsidR="00F23EFD" w:rsidRDefault="00F23EFD" w:rsidP="00F23EFD">
      <w:pPr>
        <w:pStyle w:val="Heading5"/>
      </w:pPr>
      <w:r>
        <w:t>3,000 Kelvin</w:t>
      </w:r>
    </w:p>
    <w:p w14:paraId="747F2786" w14:textId="77777777" w:rsidR="00F23EFD" w:rsidRDefault="00F23EFD" w:rsidP="00F23EFD">
      <w:pPr>
        <w:pStyle w:val="Heading5"/>
      </w:pPr>
      <w:r>
        <w:t>4,000 Kelvin</w:t>
      </w:r>
    </w:p>
    <w:p w14:paraId="4D1C4234" w14:textId="77777777" w:rsidR="00F23EFD" w:rsidRPr="00F23EFD" w:rsidRDefault="00F23EFD" w:rsidP="00F23EFD">
      <w:pPr>
        <w:pStyle w:val="Heading5"/>
      </w:pPr>
      <w:r>
        <w:t>5,000 Kelvin</w:t>
      </w:r>
    </w:p>
    <w:p w14:paraId="5024AEEA" w14:textId="77777777" w:rsidR="003D6BDB" w:rsidRDefault="003D6BDB" w:rsidP="003D6BDB">
      <w:pPr>
        <w:pStyle w:val="Heading4"/>
      </w:pPr>
      <w:r>
        <w:t>The LED shall be rated for a</w:t>
      </w:r>
      <w:r w:rsidR="00E24023">
        <w:t xml:space="preserve">n average of 70% output after </w:t>
      </w:r>
      <w:r w:rsidR="00F23EFD">
        <w:t>50</w:t>
      </w:r>
      <w:r>
        <w:t>,000 hours of use</w:t>
      </w:r>
      <w:r w:rsidR="0019153B">
        <w:t xml:space="preserve"> (L70 Rating)</w:t>
      </w:r>
      <w:r w:rsidR="00C91889">
        <w:t>.</w:t>
      </w:r>
    </w:p>
    <w:p w14:paraId="2A5721AC" w14:textId="77777777" w:rsidR="00C91889" w:rsidRDefault="00C91889" w:rsidP="00C91889">
      <w:pPr>
        <w:pStyle w:val="Heading4"/>
      </w:pPr>
      <w:r>
        <w:t>Fixture shall be calibrated at factory for achieve consistent color and intensity output between fixtures built at different times and/or from different LED lots or bins</w:t>
      </w:r>
    </w:p>
    <w:p w14:paraId="6BB39514" w14:textId="77777777" w:rsidR="00C91889" w:rsidRDefault="00C91889" w:rsidP="00C91889">
      <w:pPr>
        <w:pStyle w:val="Heading4"/>
      </w:pPr>
      <w:r>
        <w:t>Manufacturer of LED systems shall utilize an advanced production LED binning process to maintain color consistency.</w:t>
      </w:r>
    </w:p>
    <w:p w14:paraId="636B190C" w14:textId="77777777" w:rsidR="008A5E8F" w:rsidRDefault="008A5E8F" w:rsidP="003C30DD">
      <w:pPr>
        <w:pStyle w:val="Heading4"/>
        <w:numPr>
          <w:ilvl w:val="0"/>
          <w:numId w:val="0"/>
        </w:numPr>
      </w:pPr>
    </w:p>
    <w:p w14:paraId="1EACDA12" w14:textId="77777777" w:rsidR="008A5E8F" w:rsidRPr="008A5E8F" w:rsidRDefault="008A5E8F" w:rsidP="008A5E8F">
      <w:pPr>
        <w:pStyle w:val="Heading4"/>
        <w:numPr>
          <w:ilvl w:val="0"/>
          <w:numId w:val="0"/>
        </w:numPr>
        <w:jc w:val="center"/>
      </w:pPr>
      <w:r w:rsidRPr="008A5E8F">
        <w:t>END SPECIFICATION</w:t>
      </w:r>
    </w:p>
    <w:p w14:paraId="6836AFEA" w14:textId="5C8A5836" w:rsidR="008A5E8F" w:rsidRPr="008A5E8F" w:rsidRDefault="008A5E8F" w:rsidP="008A5E8F">
      <w:pPr>
        <w:pStyle w:val="Heading5"/>
        <w:numPr>
          <w:ilvl w:val="0"/>
          <w:numId w:val="0"/>
        </w:numPr>
        <w:jc w:val="center"/>
      </w:pPr>
      <w:r w:rsidRPr="008A5E8F">
        <w:rPr>
          <w:rFonts w:cs="Arial"/>
        </w:rPr>
        <w:t>©Altman Lighting</w:t>
      </w:r>
      <w:r w:rsidR="003C30DD">
        <w:rPr>
          <w:rFonts w:cs="Arial"/>
        </w:rPr>
        <w:t xml:space="preserve"> 2016</w:t>
      </w:r>
    </w:p>
    <w:sectPr w:rsidR="008A5E8F" w:rsidRPr="008A5E8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1F592" w14:textId="77777777" w:rsidR="00311B71" w:rsidRDefault="00311B71" w:rsidP="003A2968">
      <w:r>
        <w:separator/>
      </w:r>
    </w:p>
  </w:endnote>
  <w:endnote w:type="continuationSeparator" w:id="0">
    <w:p w14:paraId="342F583A" w14:textId="77777777" w:rsidR="00311B71" w:rsidRDefault="00311B71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703B" w14:textId="77777777"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E4E63">
      <w:rPr>
        <w:noProof/>
      </w:rPr>
      <w:t>1</w:t>
    </w:r>
    <w:r>
      <w:fldChar w:fldCharType="end"/>
    </w:r>
  </w:p>
  <w:p w14:paraId="6CA55522" w14:textId="77777777"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336FB" w14:textId="77777777" w:rsidR="00311B71" w:rsidRDefault="00311B71" w:rsidP="003A2968">
      <w:r>
        <w:separator/>
      </w:r>
    </w:p>
  </w:footnote>
  <w:footnote w:type="continuationSeparator" w:id="0">
    <w:p w14:paraId="6867BDA3" w14:textId="77777777" w:rsidR="00311B71" w:rsidRDefault="00311B71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7BC7" w14:textId="00BA8A1D" w:rsidR="0084369D" w:rsidRDefault="000062DF">
    <w:pPr>
      <w:pStyle w:val="Header"/>
    </w:pPr>
    <w:r>
      <w:t>Altman Lighting</w:t>
    </w:r>
    <w:r>
      <w:ptab w:relativeTo="margin" w:alignment="center" w:leader="none"/>
    </w:r>
    <w:r w:rsidR="008A4528">
      <w:t>Pegasus</w:t>
    </w:r>
    <w:r w:rsidR="00607313">
      <w:t>8</w:t>
    </w:r>
    <w:r>
      <w:t xml:space="preserve"> Fresnel Specification</w:t>
    </w:r>
    <w:r>
      <w:ptab w:relativeTo="margin" w:alignment="right" w:leader="none"/>
    </w:r>
    <w:r w:rsidR="008E4E63">
      <w:t>2016-06-02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1F8CA0E4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7"/>
    <w:rsid w:val="000062DF"/>
    <w:rsid w:val="00057F01"/>
    <w:rsid w:val="0006675F"/>
    <w:rsid w:val="00083955"/>
    <w:rsid w:val="000A4650"/>
    <w:rsid w:val="000C1616"/>
    <w:rsid w:val="000D2F01"/>
    <w:rsid w:val="000E514C"/>
    <w:rsid w:val="000E6371"/>
    <w:rsid w:val="001266DE"/>
    <w:rsid w:val="00137B45"/>
    <w:rsid w:val="00145B32"/>
    <w:rsid w:val="0017239F"/>
    <w:rsid w:val="00184735"/>
    <w:rsid w:val="0019153B"/>
    <w:rsid w:val="00234324"/>
    <w:rsid w:val="002A0DD1"/>
    <w:rsid w:val="002F4D1A"/>
    <w:rsid w:val="003044EF"/>
    <w:rsid w:val="00311B71"/>
    <w:rsid w:val="00335AA2"/>
    <w:rsid w:val="003A2968"/>
    <w:rsid w:val="003C30DD"/>
    <w:rsid w:val="003D0B01"/>
    <w:rsid w:val="003D496B"/>
    <w:rsid w:val="003D6BDB"/>
    <w:rsid w:val="003F444F"/>
    <w:rsid w:val="00401D0B"/>
    <w:rsid w:val="00402104"/>
    <w:rsid w:val="00484163"/>
    <w:rsid w:val="005405D6"/>
    <w:rsid w:val="0058645B"/>
    <w:rsid w:val="00587C53"/>
    <w:rsid w:val="005E7B09"/>
    <w:rsid w:val="00607313"/>
    <w:rsid w:val="0069019B"/>
    <w:rsid w:val="006A56F0"/>
    <w:rsid w:val="006E0BCA"/>
    <w:rsid w:val="00707F64"/>
    <w:rsid w:val="00713B53"/>
    <w:rsid w:val="00720121"/>
    <w:rsid w:val="00730B37"/>
    <w:rsid w:val="0073263F"/>
    <w:rsid w:val="00763306"/>
    <w:rsid w:val="007928CE"/>
    <w:rsid w:val="007A20EB"/>
    <w:rsid w:val="00820751"/>
    <w:rsid w:val="0084369D"/>
    <w:rsid w:val="008A344C"/>
    <w:rsid w:val="008A4528"/>
    <w:rsid w:val="008A5E8F"/>
    <w:rsid w:val="008E4E63"/>
    <w:rsid w:val="008F0043"/>
    <w:rsid w:val="0090215F"/>
    <w:rsid w:val="00920B49"/>
    <w:rsid w:val="00933678"/>
    <w:rsid w:val="00943EEF"/>
    <w:rsid w:val="009B4E43"/>
    <w:rsid w:val="00A61BAD"/>
    <w:rsid w:val="00A628E0"/>
    <w:rsid w:val="00AC4803"/>
    <w:rsid w:val="00AD4335"/>
    <w:rsid w:val="00B0660C"/>
    <w:rsid w:val="00B33EBF"/>
    <w:rsid w:val="00B534EE"/>
    <w:rsid w:val="00BA2A5C"/>
    <w:rsid w:val="00BA48C2"/>
    <w:rsid w:val="00BC4D38"/>
    <w:rsid w:val="00C557A8"/>
    <w:rsid w:val="00C838A8"/>
    <w:rsid w:val="00C91889"/>
    <w:rsid w:val="00CB2898"/>
    <w:rsid w:val="00D27AEA"/>
    <w:rsid w:val="00D77581"/>
    <w:rsid w:val="00E24023"/>
    <w:rsid w:val="00E34A48"/>
    <w:rsid w:val="00F23EFD"/>
    <w:rsid w:val="00FB2737"/>
    <w:rsid w:val="00FB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39913"/>
  <w14:defaultImageDpi w14:val="0"/>
  <w15:docId w15:val="{000FD12E-361E-4759-85E4-3AB5F74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2F4D1A"/>
    <w:pPr>
      <w:numPr>
        <w:ilvl w:val="2"/>
        <w:numId w:val="23"/>
      </w:numPr>
      <w:tabs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BC4D38"/>
    <w:pPr>
      <w:numPr>
        <w:ilvl w:val="6"/>
        <w:numId w:val="23"/>
      </w:numPr>
      <w:spacing w:before="120" w:after="120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F4D1A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713B5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3B5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3B53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91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91889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BE8CA-278E-4931-BA19-1F162C7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pborchetta@altmanlighting.com</dc:creator>
  <cp:keywords/>
  <dc:description/>
  <cp:lastModifiedBy>Jason Osterman</cp:lastModifiedBy>
  <cp:revision>2</cp:revision>
  <dcterms:created xsi:type="dcterms:W3CDTF">2016-06-02T14:37:00Z</dcterms:created>
  <dcterms:modified xsi:type="dcterms:W3CDTF">2016-06-02T14:37:00Z</dcterms:modified>
</cp:coreProperties>
</file>