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37" w:rsidRDefault="003F444F" w:rsidP="000A4650">
      <w:pPr>
        <w:pStyle w:val="Heading2"/>
      </w:pPr>
      <w:r>
        <w:t>projector spot / flood light</w:t>
      </w:r>
    </w:p>
    <w:p w:rsidR="00401D0B" w:rsidRPr="00401D0B" w:rsidRDefault="00401D0B" w:rsidP="00401D0B">
      <w:pPr>
        <w:pStyle w:val="Heading3"/>
        <w:numPr>
          <w:ilvl w:val="0"/>
          <w:numId w:val="0"/>
        </w:numPr>
        <w:ind w:left="1260" w:hanging="558"/>
      </w:pPr>
    </w:p>
    <w:p w:rsidR="00FB2737" w:rsidRPr="00BC4D38" w:rsidRDefault="00FB2737" w:rsidP="000A4650">
      <w:pPr>
        <w:pStyle w:val="Heading3"/>
      </w:pPr>
      <w:r w:rsidRPr="00BC4D38">
        <w:t>General</w:t>
      </w:r>
    </w:p>
    <w:p w:rsidR="00057F01" w:rsidRPr="00BC4D38" w:rsidRDefault="0019153B" w:rsidP="000A4650">
      <w:pPr>
        <w:pStyle w:val="Heading4"/>
      </w:pPr>
      <w:r>
        <w:t xml:space="preserve">The </w:t>
      </w:r>
      <w:r w:rsidR="000E514C">
        <w:t>luminaire</w:t>
      </w:r>
      <w:r>
        <w:t xml:space="preserve"> shall be an </w:t>
      </w:r>
      <w:r w:rsidR="003F444F">
        <w:t>Altman Lighting Gallery s</w:t>
      </w:r>
      <w:r w:rsidR="00FB2737" w:rsidRPr="00BC4D38">
        <w:t xml:space="preserve">potlight as manufactured by </w:t>
      </w:r>
      <w:r w:rsidR="003F444F">
        <w:t>Altman Stage Lighting</w:t>
      </w:r>
      <w:r w:rsidR="000E514C">
        <w:t>., or approved equal</w:t>
      </w:r>
    </w:p>
    <w:p w:rsidR="00FB2737" w:rsidRDefault="00057F01" w:rsidP="000A4650">
      <w:pPr>
        <w:pStyle w:val="Heading4"/>
      </w:pPr>
      <w:r w:rsidRPr="00BC4D38">
        <w:t xml:space="preserve">The unit shall be dimmable using </w:t>
      </w:r>
      <w:r w:rsidR="003F444F">
        <w:t xml:space="preserve">ANSI 1.11 USITT DMX512-A / ANSI E1.20 RDM (Remote Device Management), Mains Dim Phase cut, DALI, and 0-10v control. </w:t>
      </w:r>
    </w:p>
    <w:p w:rsidR="00401D0B" w:rsidRPr="00401D0B" w:rsidRDefault="00401D0B" w:rsidP="00401D0B">
      <w:pPr>
        <w:pStyle w:val="Heading4"/>
      </w:pPr>
      <w:r>
        <w:t xml:space="preserve">The Luminaire </w:t>
      </w:r>
      <w:r w:rsidR="00EC299D">
        <w:t xml:space="preserve">shall be </w:t>
      </w:r>
      <w:r>
        <w:t xml:space="preserve">a fully scalable </w:t>
      </w:r>
      <w:r w:rsidR="0090215F">
        <w:t xml:space="preserve">fixture utilizing </w:t>
      </w:r>
      <w:r w:rsidR="00003BD2">
        <w:t>Five (5</w:t>
      </w:r>
      <w:r w:rsidR="0090215F">
        <w:t xml:space="preserve">) different lens types to allow each luminaire to act as either a spot or a wash.  Luminaires not employing this versatility and convertibility shall not be accepted. </w:t>
      </w:r>
    </w:p>
    <w:p w:rsidR="00FB2737" w:rsidRPr="00BC4D38" w:rsidRDefault="00FB2737" w:rsidP="000A4650">
      <w:pPr>
        <w:pStyle w:val="Heading3"/>
      </w:pPr>
      <w:r w:rsidRPr="00BC4D38">
        <w:t>Physical</w:t>
      </w:r>
    </w:p>
    <w:p w:rsidR="00FB2737" w:rsidRPr="00BC4D38" w:rsidRDefault="00FB2737" w:rsidP="000A4650">
      <w:pPr>
        <w:pStyle w:val="Heading4"/>
      </w:pPr>
      <w:r w:rsidRPr="00BC4D38">
        <w:t xml:space="preserve">The </w:t>
      </w:r>
      <w:r w:rsidR="000E514C">
        <w:t>luminaire</w:t>
      </w:r>
      <w:r w:rsidR="000E514C" w:rsidRPr="00BC4D38">
        <w:t xml:space="preserve"> </w:t>
      </w:r>
      <w:r w:rsidRPr="00BC4D38">
        <w:t xml:space="preserve">shall be constructed of die cast aluminum, free of burrs and pits, finished in </w:t>
      </w:r>
      <w:r w:rsidR="000E514C">
        <w:t>high temperature powder coat paint</w:t>
      </w:r>
      <w:r w:rsidR="00EC299D">
        <w:t>.</w:t>
      </w:r>
    </w:p>
    <w:p w:rsidR="00FB2737" w:rsidRDefault="0090215F" w:rsidP="000A4650">
      <w:pPr>
        <w:pStyle w:val="Heading5"/>
      </w:pPr>
      <w:r>
        <w:t>Luminaires</w:t>
      </w:r>
      <w:r w:rsidR="00FB2737" w:rsidRPr="00BC4D38">
        <w:t xml:space="preserve"> shall be available in </w:t>
      </w:r>
      <w:r w:rsidR="000E514C">
        <w:t xml:space="preserve">black, </w:t>
      </w:r>
      <w:r w:rsidR="00FB2737" w:rsidRPr="00BC4D38">
        <w:t>white</w:t>
      </w:r>
      <w:r w:rsidR="0019153B">
        <w:t>, silver</w:t>
      </w:r>
      <w:r w:rsidR="00FB2737" w:rsidRPr="00BC4D38">
        <w:t xml:space="preserve"> a</w:t>
      </w:r>
      <w:r w:rsidR="00A118D6">
        <w:t>nd custom color</w:t>
      </w:r>
      <w:r w:rsidR="000E514C">
        <w:t>s as specified</w:t>
      </w:r>
    </w:p>
    <w:p w:rsidR="0090215F" w:rsidRDefault="0090215F" w:rsidP="0090215F">
      <w:pPr>
        <w:pStyle w:val="Heading5"/>
      </w:pPr>
      <w:r w:rsidRPr="00BC4D38">
        <w:t>Accessories and painted parts shall be color-matched to the specified color</w:t>
      </w:r>
      <w:r w:rsidR="00EC299D">
        <w:t>.</w:t>
      </w:r>
    </w:p>
    <w:p w:rsidR="0090215F" w:rsidRPr="0090215F" w:rsidRDefault="0090215F" w:rsidP="0090215F">
      <w:pPr>
        <w:pStyle w:val="Heading5"/>
      </w:pPr>
      <w:r w:rsidRPr="00BC4D38">
        <w:t>Exceptions to color-matching shall be noted prior to custom paint approval</w:t>
      </w:r>
      <w:r w:rsidR="00EC299D">
        <w:t>.</w:t>
      </w:r>
    </w:p>
    <w:p w:rsidR="00057F01" w:rsidRDefault="00FB2737" w:rsidP="000A4650">
      <w:pPr>
        <w:pStyle w:val="Heading5"/>
      </w:pPr>
      <w:r w:rsidRPr="00BC4D38">
        <w:t xml:space="preserve">Non-painted parts shall be available in </w:t>
      </w:r>
      <w:r w:rsidR="0006675F">
        <w:t>black, white or silver</w:t>
      </w:r>
      <w:r w:rsidR="00EC299D">
        <w:t>.</w:t>
      </w:r>
    </w:p>
    <w:p w:rsidR="00BA2A5C" w:rsidRPr="00BA2A5C" w:rsidRDefault="00BA2A5C" w:rsidP="00BA2A5C">
      <w:pPr>
        <w:pStyle w:val="Heading5"/>
      </w:pPr>
      <w:r>
        <w:t xml:space="preserve">Accessory Slots shall employ a </w:t>
      </w:r>
      <w:r w:rsidR="0069019B">
        <w:t>t</w:t>
      </w:r>
      <w:r>
        <w:t>hree position locking slot allowing for color media and external beam shaping accessories such as top hats, concentric rings, barn doors, and tapered snoots.</w:t>
      </w:r>
    </w:p>
    <w:p w:rsidR="0019153B" w:rsidRDefault="003F444F" w:rsidP="003F444F">
      <w:pPr>
        <w:pStyle w:val="Heading5"/>
      </w:pPr>
      <w:r>
        <w:t>Mounting options shall include</w:t>
      </w:r>
      <w:r w:rsidR="00C314F0">
        <w:t>:</w:t>
      </w:r>
    </w:p>
    <w:p w:rsidR="003F444F" w:rsidRDefault="003F444F" w:rsidP="003F444F">
      <w:pPr>
        <w:pStyle w:val="Heading6"/>
      </w:pPr>
      <w:r>
        <w:t>Altman Smart Track (DMX</w:t>
      </w:r>
      <w:r w:rsidR="00C314F0">
        <w:t xml:space="preserve"> or DALI</w:t>
      </w:r>
      <w:r>
        <w:t>)</w:t>
      </w:r>
    </w:p>
    <w:p w:rsidR="003F444F" w:rsidRDefault="003F444F" w:rsidP="003F444F">
      <w:pPr>
        <w:pStyle w:val="Heading6"/>
      </w:pPr>
      <w:r>
        <w:t>Ceiling Canopy Mount</w:t>
      </w:r>
    </w:p>
    <w:p w:rsidR="003F444F" w:rsidRDefault="003F444F" w:rsidP="003F444F">
      <w:pPr>
        <w:pStyle w:val="Heading6"/>
      </w:pPr>
      <w:r>
        <w:t>Portable Mount</w:t>
      </w:r>
    </w:p>
    <w:p w:rsidR="003F444F" w:rsidRDefault="003F444F" w:rsidP="003F444F">
      <w:pPr>
        <w:pStyle w:val="Heading6"/>
      </w:pPr>
      <w:r>
        <w:t>Pendant</w:t>
      </w:r>
    </w:p>
    <w:p w:rsidR="003F444F" w:rsidRDefault="003F444F" w:rsidP="003F444F">
      <w:pPr>
        <w:pStyle w:val="Heading6"/>
      </w:pPr>
      <w:proofErr w:type="spellStart"/>
      <w:r>
        <w:t>Unistrut</w:t>
      </w:r>
      <w:proofErr w:type="spellEnd"/>
    </w:p>
    <w:p w:rsidR="003F444F" w:rsidRDefault="00A118D6" w:rsidP="003F444F">
      <w:pPr>
        <w:pStyle w:val="Heading4"/>
      </w:pPr>
      <w:r>
        <w:t xml:space="preserve">Luminaire shall be a </w:t>
      </w:r>
      <w:r w:rsidR="003F444F">
        <w:t>fully convertible</w:t>
      </w:r>
      <w:r>
        <w:t xml:space="preserve"> fitting</w:t>
      </w:r>
      <w:r w:rsidR="003F444F">
        <w:t xml:space="preserve">, a lens change </w:t>
      </w:r>
      <w:r>
        <w:t xml:space="preserve">shall be all that is </w:t>
      </w:r>
      <w:proofErr w:type="gramStart"/>
      <w:r>
        <w:t>necessary</w:t>
      </w:r>
      <w:proofErr w:type="gramEnd"/>
      <w:r>
        <w:t xml:space="preserve"> to change</w:t>
      </w:r>
      <w:r w:rsidDel="00A118D6">
        <w:t xml:space="preserve"> </w:t>
      </w:r>
      <w:r w:rsidR="003F444F">
        <w:t xml:space="preserve">from a wash to a profile spot light. </w:t>
      </w:r>
      <w:r w:rsidR="00BA2A5C">
        <w:t xml:space="preserve">Lens changes shall be completely tool-free.  </w:t>
      </w:r>
      <w:r w:rsidR="003F444F">
        <w:t xml:space="preserve"> Luminaires that do not offer this level of flexibility shall not be accepted. The Lens offering shall include:</w:t>
      </w:r>
    </w:p>
    <w:p w:rsidR="003F444F" w:rsidRDefault="003F444F" w:rsidP="003F444F">
      <w:pPr>
        <w:pStyle w:val="Heading5"/>
      </w:pPr>
      <w:r>
        <w:t xml:space="preserve">Wall Wash at a fixed 85 degree </w:t>
      </w:r>
      <w:r w:rsidR="00003BD2">
        <w:t xml:space="preserve">asymmetric </w:t>
      </w:r>
      <w:r>
        <w:t>beam spread</w:t>
      </w:r>
    </w:p>
    <w:p w:rsidR="003F444F" w:rsidRDefault="003F444F" w:rsidP="003F444F">
      <w:pPr>
        <w:pStyle w:val="Heading5"/>
      </w:pPr>
      <w:r>
        <w:t>Beam Wash with a 15-6</w:t>
      </w:r>
      <w:r w:rsidR="003044EF">
        <w:t>0</w:t>
      </w:r>
      <w:r>
        <w:t xml:space="preserve"> degree beam spread</w:t>
      </w:r>
    </w:p>
    <w:p w:rsidR="003F444F" w:rsidRDefault="00CB2898" w:rsidP="00CB2898">
      <w:pPr>
        <w:pStyle w:val="Heading5"/>
      </w:pPr>
      <w:r>
        <w:t>Zoom Profile spot with a 15 – 35 degree beam spread</w:t>
      </w:r>
    </w:p>
    <w:p w:rsidR="00CB2898" w:rsidRDefault="00CB2898" w:rsidP="00CB2898">
      <w:pPr>
        <w:pStyle w:val="Heading5"/>
      </w:pPr>
      <w:r>
        <w:t>Zoom Profile spot with a 25 –50 degree beam spread</w:t>
      </w:r>
    </w:p>
    <w:p w:rsidR="00003BD2" w:rsidRPr="00003BD2" w:rsidRDefault="00003BD2" w:rsidP="00003BD2">
      <w:pPr>
        <w:pStyle w:val="Heading5"/>
      </w:pPr>
      <w:r>
        <w:t>Flood at a fixed 85 degree beam spread</w:t>
      </w:r>
    </w:p>
    <w:p w:rsidR="00003BD2" w:rsidRDefault="00003BD2" w:rsidP="00003BD2">
      <w:pPr>
        <w:pStyle w:val="Heading6"/>
        <w:numPr>
          <w:ilvl w:val="0"/>
          <w:numId w:val="0"/>
        </w:numPr>
        <w:ind w:left="2880" w:hanging="540"/>
      </w:pPr>
    </w:p>
    <w:p w:rsidR="00003BD2" w:rsidRPr="00003BD2" w:rsidRDefault="00003BD2" w:rsidP="00003BD2">
      <w:pPr>
        <w:pStyle w:val="Heading7"/>
        <w:numPr>
          <w:ilvl w:val="0"/>
          <w:numId w:val="0"/>
        </w:numPr>
        <w:ind w:left="4032"/>
      </w:pPr>
      <w:bookmarkStart w:id="0" w:name="_GoBack"/>
      <w:bookmarkEnd w:id="0"/>
    </w:p>
    <w:p w:rsidR="00FB2737" w:rsidRPr="00BC4D38" w:rsidRDefault="00057F01" w:rsidP="000A4650">
      <w:pPr>
        <w:pStyle w:val="Heading4"/>
      </w:pPr>
      <w:r w:rsidRPr="00BC4D38">
        <w:lastRenderedPageBreak/>
        <w:t xml:space="preserve">The </w:t>
      </w:r>
      <w:r w:rsidR="000C1616">
        <w:t>luminaire:</w:t>
      </w:r>
    </w:p>
    <w:p w:rsidR="00FB2737" w:rsidRDefault="00FB2737" w:rsidP="000A4650">
      <w:pPr>
        <w:pStyle w:val="Heading5"/>
      </w:pPr>
      <w:r w:rsidRPr="00BC4D38">
        <w:t xml:space="preserve">Shall </w:t>
      </w:r>
      <w:r w:rsidR="000C1616">
        <w:t xml:space="preserve">utilize </w:t>
      </w:r>
      <w:r w:rsidRPr="00BC4D38">
        <w:t xml:space="preserve">stainless steel shutters </w:t>
      </w:r>
      <w:r w:rsidR="000C1616">
        <w:t xml:space="preserve">constructed </w:t>
      </w:r>
      <w:r w:rsidRPr="00BC4D38">
        <w:t xml:space="preserve">A301 grade </w:t>
      </w:r>
      <w:r w:rsidR="000C1616">
        <w:t>aluminum or better</w:t>
      </w:r>
      <w:r w:rsidR="00EC299D">
        <w:t>.</w:t>
      </w:r>
    </w:p>
    <w:p w:rsidR="0058645B" w:rsidRPr="0058645B" w:rsidRDefault="0058645B" w:rsidP="0058645B">
      <w:pPr>
        <w:pStyle w:val="Heading5"/>
      </w:pPr>
      <w:r>
        <w:t>Shall provide a 360 degree lens rotation</w:t>
      </w:r>
      <w:r w:rsidR="00BA2A5C">
        <w:t xml:space="preserve"> independent of shutter rotation. </w:t>
      </w:r>
    </w:p>
    <w:p w:rsidR="00057F01" w:rsidRPr="00BC4D38" w:rsidRDefault="000C1616" w:rsidP="000A4650">
      <w:pPr>
        <w:pStyle w:val="Heading5"/>
      </w:pPr>
      <w:r>
        <w:t>Shall provide a</w:t>
      </w:r>
      <w:r w:rsidR="0058645B">
        <w:t>n independent patter</w:t>
      </w:r>
      <w:r w:rsidR="00BA2A5C">
        <w:t>n</w:t>
      </w:r>
      <w:r w:rsidR="0058645B">
        <w:t xml:space="preserve"> and </w:t>
      </w:r>
      <w:r>
        <w:t>s</w:t>
      </w:r>
      <w:r w:rsidR="00057F01" w:rsidRPr="00BC4D38">
        <w:t xml:space="preserve">hutter assembly </w:t>
      </w:r>
      <w:r w:rsidR="00C838A8">
        <w:t>capable of</w:t>
      </w:r>
      <w:r w:rsidR="00057F01" w:rsidRPr="00BC4D38">
        <w:t xml:space="preserve"> </w:t>
      </w:r>
      <w:r w:rsidR="0058645B">
        <w:t>360 degree rotation.</w:t>
      </w:r>
    </w:p>
    <w:p w:rsidR="00FB2737" w:rsidRPr="00BC4D38" w:rsidRDefault="0058645B" w:rsidP="000A4650">
      <w:pPr>
        <w:pStyle w:val="Heading5"/>
      </w:pPr>
      <w:r>
        <w:t>Profile Spot light s</w:t>
      </w:r>
      <w:r w:rsidR="00FB2737" w:rsidRPr="00BC4D38">
        <w:t xml:space="preserve">hall have a slot with </w:t>
      </w:r>
      <w:r w:rsidR="00057F01" w:rsidRPr="00BC4D38">
        <w:t xml:space="preserve">a </w:t>
      </w:r>
      <w:r>
        <w:t xml:space="preserve">removable </w:t>
      </w:r>
      <w:r w:rsidR="00FB2737" w:rsidRPr="00BC4D38">
        <w:t>cover for patterns</w:t>
      </w:r>
      <w:r w:rsidR="000C1616">
        <w:t>/ gobos</w:t>
      </w:r>
      <w:r w:rsidR="00FB2737" w:rsidRPr="00BC4D38">
        <w:t xml:space="preserve"> </w:t>
      </w:r>
    </w:p>
    <w:p w:rsidR="00FB2737" w:rsidRPr="00BC4D38" w:rsidRDefault="00FB2737" w:rsidP="00C838A8">
      <w:pPr>
        <w:pStyle w:val="Heading6"/>
      </w:pPr>
      <w:r w:rsidRPr="00BC4D38">
        <w:t xml:space="preserve">Shall allow for use of E-sized </w:t>
      </w:r>
      <w:r w:rsidR="000C1616">
        <w:t xml:space="preserve">metal and glass </w:t>
      </w:r>
      <w:r w:rsidRPr="00BC4D38">
        <w:t>patterns</w:t>
      </w:r>
    </w:p>
    <w:p w:rsidR="00FB2737" w:rsidRPr="00BC4D38" w:rsidRDefault="00FB2737" w:rsidP="00C838A8">
      <w:pPr>
        <w:pStyle w:val="Heading6"/>
      </w:pPr>
      <w:r w:rsidRPr="00BC4D38">
        <w:t>Shall include a pattern holder</w:t>
      </w:r>
    </w:p>
    <w:p w:rsidR="00FB2737" w:rsidRPr="00BC4D38" w:rsidRDefault="00FB2737" w:rsidP="000A4650">
      <w:pPr>
        <w:pStyle w:val="Heading5"/>
      </w:pPr>
      <w:r w:rsidRPr="00BC4D38">
        <w:t>Shall have a</w:t>
      </w:r>
      <w:r w:rsidR="003044EF">
        <w:t xml:space="preserve"> single arm aluminum</w:t>
      </w:r>
      <w:r w:rsidRPr="00BC4D38">
        <w:t xml:space="preserve"> yoke allowing </w:t>
      </w:r>
      <w:r w:rsidR="00057F01" w:rsidRPr="00BC4D38">
        <w:t xml:space="preserve">at least </w:t>
      </w:r>
      <w:r w:rsidRPr="00BC4D38">
        <w:t>3</w:t>
      </w:r>
      <w:r w:rsidR="003044EF">
        <w:t xml:space="preserve">20 </w:t>
      </w:r>
      <w:r w:rsidR="000C1616">
        <w:t>-</w:t>
      </w:r>
      <w:r w:rsidR="00057F01" w:rsidRPr="00BC4D38">
        <w:t>degree</w:t>
      </w:r>
      <w:r w:rsidRPr="00BC4D38">
        <w:t xml:space="preserve"> tilt of the fixture within the yoke</w:t>
      </w:r>
      <w:r w:rsidR="00EC299D">
        <w:t>.</w:t>
      </w:r>
    </w:p>
    <w:p w:rsidR="00FB2737" w:rsidRPr="00BC4D38" w:rsidRDefault="00FB2737" w:rsidP="000A4650">
      <w:pPr>
        <w:pStyle w:val="Heading5"/>
      </w:pPr>
      <w:r w:rsidRPr="00BC4D38">
        <w:t>Shall have tool-free tilt and beam adjustment</w:t>
      </w:r>
      <w:r w:rsidR="000C1616">
        <w:t>,</w:t>
      </w:r>
      <w:r w:rsidRPr="00BC4D38">
        <w:t xml:space="preserve"> while allowing for tool-tig</w:t>
      </w:r>
      <w:r w:rsidR="000E514C">
        <w:t>htening at all movement points</w:t>
      </w:r>
      <w:r w:rsidR="00EC299D">
        <w:t>.</w:t>
      </w:r>
    </w:p>
    <w:p w:rsidR="003D0B01" w:rsidRDefault="003D0B01" w:rsidP="003D0B01">
      <w:pPr>
        <w:pStyle w:val="Heading3"/>
      </w:pPr>
      <w:r>
        <w:t>Electrical</w:t>
      </w:r>
    </w:p>
    <w:p w:rsidR="00BA2A5C" w:rsidRDefault="003D0B01" w:rsidP="00C838A8">
      <w:pPr>
        <w:pStyle w:val="Heading4"/>
      </w:pPr>
      <w:r>
        <w:t>The luminaire shall be available in</w:t>
      </w:r>
      <w:r w:rsidR="00BA2A5C">
        <w:t>:</w:t>
      </w:r>
    </w:p>
    <w:p w:rsidR="00BA2A5C" w:rsidRDefault="003D0B01" w:rsidP="00BA2A5C">
      <w:pPr>
        <w:pStyle w:val="Heading5"/>
      </w:pPr>
      <w:r>
        <w:t xml:space="preserve"> </w:t>
      </w:r>
      <w:r w:rsidR="003044EF">
        <w:t>100 – 277 VAC 50/6</w:t>
      </w:r>
      <w:r w:rsidR="00BA2A5C">
        <w:t>0 Hz for Dali and DMX versions (40 Watt)</w:t>
      </w:r>
    </w:p>
    <w:p w:rsidR="003D0B01" w:rsidRDefault="003044EF" w:rsidP="00BA2A5C">
      <w:pPr>
        <w:pStyle w:val="Heading5"/>
      </w:pPr>
      <w:r>
        <w:t xml:space="preserve"> 120 -277 VAC 50/60 Hz for Phase cut mains and 0-10vac dimming. </w:t>
      </w:r>
      <w:r w:rsidR="00BA2A5C">
        <w:t>(42 Watt)</w:t>
      </w:r>
    </w:p>
    <w:p w:rsidR="00BA2A5C" w:rsidRDefault="00BA2A5C" w:rsidP="00BA2A5C">
      <w:pPr>
        <w:pStyle w:val="Heading4"/>
      </w:pPr>
      <w:r>
        <w:t xml:space="preserve">The luminaire shall employ cooling system with an ambient </w:t>
      </w:r>
      <w:proofErr w:type="spellStart"/>
      <w:r>
        <w:t>dBa</w:t>
      </w:r>
      <w:proofErr w:type="spellEnd"/>
      <w:r>
        <w:t xml:space="preserve"> level no greater that 7dBa</w:t>
      </w:r>
      <w:r w:rsidR="0084369D">
        <w:t xml:space="preserve"> registered at the luminaire</w:t>
      </w:r>
      <w:r w:rsidR="00A118D6">
        <w:t xml:space="preserve"> and shall be imperceptible to the human ear</w:t>
      </w:r>
      <w:r w:rsidR="0084369D">
        <w:t>.</w:t>
      </w:r>
    </w:p>
    <w:p w:rsidR="0084369D" w:rsidRPr="0084369D" w:rsidRDefault="0084369D" w:rsidP="0084369D">
      <w:pPr>
        <w:pStyle w:val="Heading5"/>
      </w:pPr>
      <w:r>
        <w:t xml:space="preserve">The Luminaire shall employ an active cooling sensing system which will shut down the led in the event of a cooling system failure. Luminaires not employing shut down safety circuity shall not be accepted. </w:t>
      </w:r>
    </w:p>
    <w:p w:rsidR="00FB2737" w:rsidRPr="00BC4D38" w:rsidRDefault="00FB2737" w:rsidP="000A4650">
      <w:pPr>
        <w:pStyle w:val="Heading3"/>
      </w:pPr>
      <w:r w:rsidRPr="00BC4D38">
        <w:t>Optical</w:t>
      </w:r>
    </w:p>
    <w:p w:rsidR="00FB2737" w:rsidRPr="00BC4D38" w:rsidRDefault="00FB2737" w:rsidP="000A4650">
      <w:pPr>
        <w:pStyle w:val="Heading4"/>
      </w:pPr>
      <w:r w:rsidRPr="00BC4D38">
        <w:t xml:space="preserve">The </w:t>
      </w:r>
      <w:r w:rsidR="003D0B01">
        <w:t>luminaire</w:t>
      </w:r>
      <w:r w:rsidR="003D0B01" w:rsidRPr="00BC4D38">
        <w:t xml:space="preserve"> </w:t>
      </w:r>
      <w:r w:rsidRPr="00BC4D38">
        <w:t xml:space="preserve">shall </w:t>
      </w:r>
      <w:r w:rsidR="003D0B01">
        <w:t>utilize</w:t>
      </w:r>
      <w:r w:rsidR="003D0B01" w:rsidRPr="00BC4D38">
        <w:t xml:space="preserve"> </w:t>
      </w:r>
      <w:r w:rsidRPr="00BC4D38">
        <w:t>high-contrast aspheric len</w:t>
      </w:r>
      <w:r w:rsidR="00C838A8">
        <w:t>s</w:t>
      </w:r>
      <w:r w:rsidR="003D0B01">
        <w:t>e</w:t>
      </w:r>
      <w:r w:rsidRPr="00BC4D38">
        <w:t xml:space="preserve">s, </w:t>
      </w:r>
      <w:r w:rsidR="005A5AC4">
        <w:t xml:space="preserve">with an anti-reflective coating and edge blackened lensing </w:t>
      </w:r>
      <w:r w:rsidRPr="00BC4D38">
        <w:t>to increase transmission, with:</w:t>
      </w:r>
    </w:p>
    <w:p w:rsidR="00FB2737" w:rsidRPr="00BC4D38" w:rsidRDefault="00FB2737" w:rsidP="000A4650">
      <w:pPr>
        <w:pStyle w:val="Heading5"/>
      </w:pPr>
      <w:r w:rsidRPr="00BC4D38">
        <w:t xml:space="preserve">Adjustable hard and soft beam edges </w:t>
      </w:r>
    </w:p>
    <w:p w:rsidR="00FB2737" w:rsidRPr="00BC4D38" w:rsidRDefault="00FB2737" w:rsidP="000A4650">
      <w:pPr>
        <w:pStyle w:val="Heading5"/>
      </w:pPr>
      <w:r w:rsidRPr="00BC4D38">
        <w:t>Crisp pattern imaging without significant halation</w:t>
      </w:r>
    </w:p>
    <w:p w:rsidR="00FB2737" w:rsidRDefault="00FB2737" w:rsidP="000A4650">
      <w:pPr>
        <w:pStyle w:val="Heading5"/>
      </w:pPr>
      <w:r w:rsidRPr="00BC4D38">
        <w:t>Sharp shutter cuts without halation</w:t>
      </w:r>
    </w:p>
    <w:p w:rsidR="00F23EFD" w:rsidRPr="00F23EFD" w:rsidRDefault="00F23EFD" w:rsidP="00F23EFD">
      <w:pPr>
        <w:pStyle w:val="Heading5"/>
      </w:pPr>
      <w:r>
        <w:t xml:space="preserve">Beam wash and wall wash to provide a soft beam from center to edge with a 2:1 </w:t>
      </w:r>
      <w:r w:rsidR="003A2968">
        <w:t xml:space="preserve">cosine </w:t>
      </w:r>
      <w:r>
        <w:t>distribution from center to edge of beam</w:t>
      </w:r>
    </w:p>
    <w:p w:rsidR="00FB2737" w:rsidRPr="00BC4D38" w:rsidRDefault="003D0B01" w:rsidP="000A4650">
      <w:pPr>
        <w:pStyle w:val="Heading4"/>
      </w:pPr>
      <w:r>
        <w:t>The luminaire</w:t>
      </w:r>
      <w:r w:rsidRPr="00BC4D38">
        <w:t xml:space="preserve"> </w:t>
      </w:r>
      <w:r w:rsidR="00FB2737" w:rsidRPr="00BC4D38">
        <w:t xml:space="preserve">shall </w:t>
      </w:r>
      <w:r>
        <w:t>utilize</w:t>
      </w:r>
      <w:r w:rsidRPr="00BC4D38">
        <w:t xml:space="preserve"> </w:t>
      </w:r>
      <w:r w:rsidR="00F23EFD">
        <w:t>a two</w:t>
      </w:r>
      <w:r w:rsidR="00FB2737" w:rsidRPr="00BC4D38">
        <w:t xml:space="preserve"> plane shutter design to provide adjustable framing angles with </w:t>
      </w:r>
      <w:r>
        <w:t xml:space="preserve">the </w:t>
      </w:r>
      <w:r w:rsidR="00FB2737" w:rsidRPr="00BC4D38">
        <w:t>ability to overlap cuts</w:t>
      </w:r>
      <w:r w:rsidR="00F35CCF">
        <w:t>.</w:t>
      </w:r>
    </w:p>
    <w:p w:rsidR="00EC299D" w:rsidRDefault="003D0B01" w:rsidP="000A4650">
      <w:pPr>
        <w:pStyle w:val="Heading5"/>
      </w:pPr>
      <w:r>
        <w:t>The luminaire</w:t>
      </w:r>
      <w:r w:rsidR="00FB2737" w:rsidRPr="00BC4D38">
        <w:t xml:space="preserve"> design shall have built-in</w:t>
      </w:r>
      <w:r w:rsidR="00BA2A5C">
        <w:t xml:space="preserve"> active</w:t>
      </w:r>
      <w:r w:rsidR="00FB2737" w:rsidRPr="00BC4D38">
        <w:t xml:space="preserve"> heat dissipation to prevent shutter warping and burnout in normal use</w:t>
      </w:r>
      <w:r w:rsidR="00BA2A5C">
        <w:t>.</w:t>
      </w:r>
    </w:p>
    <w:p w:rsidR="00FB2737" w:rsidRPr="00BC4D38" w:rsidRDefault="00EC299D" w:rsidP="00A118D6">
      <w:pPr>
        <w:pStyle w:val="Heading4"/>
      </w:pPr>
      <w:r>
        <w:t>The luminaire shall be capable of being fitted with barn-doors to further control beam shape.</w:t>
      </w:r>
    </w:p>
    <w:p w:rsidR="003D6BDB" w:rsidRDefault="003D6BDB" w:rsidP="003D6BDB">
      <w:pPr>
        <w:pStyle w:val="Heading4"/>
      </w:pPr>
      <w:r>
        <w:t xml:space="preserve">The </w:t>
      </w:r>
      <w:r w:rsidR="003D0B01">
        <w:t xml:space="preserve">luminaire </w:t>
      </w:r>
      <w:r>
        <w:t>shall utilize a single LED</w:t>
      </w:r>
      <w:r w:rsidR="00F23EFD">
        <w:t xml:space="preserve"> &gt;92 CRI</w:t>
      </w:r>
      <w:r>
        <w:t xml:space="preserve"> emitter</w:t>
      </w:r>
      <w:r w:rsidR="000C1616">
        <w:t xml:space="preserve"> and be available in configurations that include:</w:t>
      </w:r>
    </w:p>
    <w:p w:rsidR="00F23EFD" w:rsidRDefault="00F23EFD" w:rsidP="00F23EFD">
      <w:pPr>
        <w:pStyle w:val="Heading5"/>
      </w:pPr>
      <w:r>
        <w:t>2,700 Kelvin</w:t>
      </w:r>
    </w:p>
    <w:p w:rsidR="00F23EFD" w:rsidRDefault="00F23EFD" w:rsidP="00F23EFD">
      <w:pPr>
        <w:pStyle w:val="Heading5"/>
      </w:pPr>
      <w:r>
        <w:lastRenderedPageBreak/>
        <w:t>3,000 Kelvin</w:t>
      </w:r>
    </w:p>
    <w:p w:rsidR="00F23EFD" w:rsidRDefault="00F23EFD" w:rsidP="00F23EFD">
      <w:pPr>
        <w:pStyle w:val="Heading5"/>
      </w:pPr>
      <w:r>
        <w:t>4,000 Kelvin</w:t>
      </w:r>
    </w:p>
    <w:p w:rsidR="00F23EFD" w:rsidRPr="00F23EFD" w:rsidRDefault="00F23EFD" w:rsidP="00F23EFD">
      <w:pPr>
        <w:pStyle w:val="Heading5"/>
      </w:pPr>
      <w:r>
        <w:t>5,000 Kelvin</w:t>
      </w:r>
    </w:p>
    <w:p w:rsidR="00F35CCF" w:rsidRDefault="00F35CCF" w:rsidP="003D6BDB">
      <w:pPr>
        <w:pStyle w:val="Heading4"/>
      </w:pPr>
      <w:r>
        <w:t xml:space="preserve">The dimming of the luminaire shall be flicker free all the way to complete 0. Luminaires which do not dim smoothly to complete 0 shall not be acceptable. </w:t>
      </w:r>
    </w:p>
    <w:p w:rsidR="003D6BDB" w:rsidRDefault="003D6BDB" w:rsidP="003D6BDB">
      <w:pPr>
        <w:pStyle w:val="Heading4"/>
      </w:pPr>
      <w:r>
        <w:t>The LED shall be rated for a</w:t>
      </w:r>
      <w:r w:rsidR="00E24023">
        <w:t xml:space="preserve">n average of 70% output after </w:t>
      </w:r>
      <w:r w:rsidR="00F23EFD">
        <w:t>50</w:t>
      </w:r>
      <w:r>
        <w:t>,000 hours of use</w:t>
      </w:r>
      <w:r w:rsidR="0019153B">
        <w:t xml:space="preserve"> (L70 Rating)</w:t>
      </w:r>
      <w:r w:rsidR="00F35CCF">
        <w:t>.</w:t>
      </w:r>
    </w:p>
    <w:p w:rsidR="003D6BDB" w:rsidRDefault="003D0B01" w:rsidP="003D6BDB">
      <w:pPr>
        <w:pStyle w:val="Heading4"/>
      </w:pPr>
      <w:r>
        <w:t xml:space="preserve">The luminaire </w:t>
      </w:r>
      <w:r w:rsidR="003D6BDB">
        <w:t>shall have an expected</w:t>
      </w:r>
      <w:r w:rsidR="0019153B">
        <w:t xml:space="preserve"> average power consumption of </w:t>
      </w:r>
      <w:r w:rsidR="00F23EFD">
        <w:t>4</w:t>
      </w:r>
      <w:r w:rsidR="0019153B">
        <w:t>0</w:t>
      </w:r>
      <w:r w:rsidR="003D6BDB">
        <w:t>W</w:t>
      </w:r>
      <w:r w:rsidR="0019153B">
        <w:t xml:space="preserve"> maximum</w:t>
      </w:r>
      <w:r w:rsidR="00F35CCF">
        <w:t>.</w:t>
      </w:r>
    </w:p>
    <w:p w:rsidR="003D6BDB" w:rsidRDefault="003D0B01" w:rsidP="0019153B">
      <w:pPr>
        <w:pStyle w:val="Heading4"/>
      </w:pPr>
      <w:r>
        <w:t xml:space="preserve">The luminaire </w:t>
      </w:r>
      <w:r w:rsidR="003D6BDB">
        <w:t>shall have a minimum output of</w:t>
      </w:r>
      <w:r w:rsidR="0019153B">
        <w:t xml:space="preserve"> </w:t>
      </w:r>
      <w:r w:rsidR="00F23EFD">
        <w:t>36</w:t>
      </w:r>
      <w:r w:rsidR="0019153B">
        <w:t xml:space="preserve">00 lumens </w:t>
      </w:r>
      <w:r w:rsidR="000C1616">
        <w:t xml:space="preserve">in </w:t>
      </w:r>
      <w:r w:rsidR="00F23EFD">
        <w:t>DMX / Dali</w:t>
      </w:r>
      <w:r w:rsidR="000C1616">
        <w:t xml:space="preserve"> versions.</w:t>
      </w:r>
    </w:p>
    <w:p w:rsidR="0084369D" w:rsidRDefault="0084369D" w:rsidP="0084369D">
      <w:pPr>
        <w:pStyle w:val="Heading5"/>
        <w:numPr>
          <w:ilvl w:val="0"/>
          <w:numId w:val="0"/>
        </w:numPr>
      </w:pPr>
    </w:p>
    <w:p w:rsidR="0084369D" w:rsidRPr="0084369D" w:rsidRDefault="0084369D" w:rsidP="0084369D">
      <w:pPr>
        <w:pStyle w:val="Heading6"/>
        <w:numPr>
          <w:ilvl w:val="0"/>
          <w:numId w:val="0"/>
        </w:numPr>
      </w:pPr>
      <w:r>
        <w:t>&gt;&gt;&gt;END GALLERY SPECIFICATION&gt;&gt;&gt;&gt;&gt;</w:t>
      </w:r>
    </w:p>
    <w:sectPr w:rsidR="0084369D" w:rsidRPr="008436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8C" w:rsidRDefault="00CC0D8C" w:rsidP="003A2968">
      <w:r>
        <w:separator/>
      </w:r>
    </w:p>
  </w:endnote>
  <w:endnote w:type="continuationSeparator" w:id="0">
    <w:p w:rsidR="00CC0D8C" w:rsidRDefault="00CC0D8C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3BD2">
      <w:rPr>
        <w:noProof/>
      </w:rPr>
      <w:t>3</w:t>
    </w:r>
    <w:r>
      <w:fldChar w:fldCharType="end"/>
    </w:r>
  </w:p>
  <w:p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8C" w:rsidRDefault="00CC0D8C" w:rsidP="003A2968">
      <w:r>
        <w:separator/>
      </w:r>
    </w:p>
  </w:footnote>
  <w:footnote w:type="continuationSeparator" w:id="0">
    <w:p w:rsidR="00CC0D8C" w:rsidRDefault="00CC0D8C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D" w:rsidRDefault="0084369D">
    <w:pPr>
      <w:pStyle w:val="Header"/>
    </w:pPr>
    <w:r>
      <w:t xml:space="preserve">Altman Gallery Specification.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0D9EB612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03BD2"/>
    <w:rsid w:val="00057F01"/>
    <w:rsid w:val="0006675F"/>
    <w:rsid w:val="00083955"/>
    <w:rsid w:val="00084D4F"/>
    <w:rsid w:val="000A4650"/>
    <w:rsid w:val="000C1616"/>
    <w:rsid w:val="000E514C"/>
    <w:rsid w:val="0017239F"/>
    <w:rsid w:val="00184735"/>
    <w:rsid w:val="0019153B"/>
    <w:rsid w:val="002155B3"/>
    <w:rsid w:val="003044EF"/>
    <w:rsid w:val="00335AA2"/>
    <w:rsid w:val="0038082F"/>
    <w:rsid w:val="003A2968"/>
    <w:rsid w:val="003D0B01"/>
    <w:rsid w:val="003D6BDB"/>
    <w:rsid w:val="003F444F"/>
    <w:rsid w:val="00401D0B"/>
    <w:rsid w:val="0058645B"/>
    <w:rsid w:val="00587C53"/>
    <w:rsid w:val="005A5AC4"/>
    <w:rsid w:val="00670618"/>
    <w:rsid w:val="0069019B"/>
    <w:rsid w:val="007928CE"/>
    <w:rsid w:val="007A20EB"/>
    <w:rsid w:val="0084369D"/>
    <w:rsid w:val="008F0043"/>
    <w:rsid w:val="0090215F"/>
    <w:rsid w:val="00A118D6"/>
    <w:rsid w:val="00A7787A"/>
    <w:rsid w:val="00B2709C"/>
    <w:rsid w:val="00B534EE"/>
    <w:rsid w:val="00BA2A5C"/>
    <w:rsid w:val="00BC4D38"/>
    <w:rsid w:val="00C314F0"/>
    <w:rsid w:val="00C838A8"/>
    <w:rsid w:val="00CB2898"/>
    <w:rsid w:val="00CC0D8C"/>
    <w:rsid w:val="00E24023"/>
    <w:rsid w:val="00EC299D"/>
    <w:rsid w:val="00F05045"/>
    <w:rsid w:val="00F23EFD"/>
    <w:rsid w:val="00F35CCF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55DAA7-9013-44A1-ADB8-7F099689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0A4650"/>
    <w:pPr>
      <w:numPr>
        <w:ilvl w:val="2"/>
        <w:numId w:val="23"/>
      </w:numPr>
      <w:tabs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BC4D38"/>
    <w:pPr>
      <w:numPr>
        <w:ilvl w:val="6"/>
        <w:numId w:val="23"/>
      </w:numPr>
      <w:spacing w:before="120" w:after="120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rsid w:val="00BC4D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EC29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99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99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99D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18D6"/>
    <w:pPr>
      <w:spacing w:after="0" w:line="240" w:lineRule="auto"/>
    </w:pPr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pborchetta@altmanlighting.com</dc:creator>
  <cp:keywords/>
  <dc:description/>
  <cp:lastModifiedBy>Peter Borchetta</cp:lastModifiedBy>
  <cp:revision>3</cp:revision>
  <dcterms:created xsi:type="dcterms:W3CDTF">2018-02-20T21:52:00Z</dcterms:created>
  <dcterms:modified xsi:type="dcterms:W3CDTF">2018-02-20T21:54:00Z</dcterms:modified>
</cp:coreProperties>
</file>